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4D0" w:rsidRDefault="00AC54D0" w:rsidP="00AC54D0">
      <w:pPr>
        <w:pStyle w:val="a7"/>
        <w:spacing w:before="0" w:beforeAutospacing="0" w:after="0" w:afterAutospacing="0"/>
        <w:ind w:left="709" w:right="757"/>
        <w:jc w:val="right"/>
        <w:rPr>
          <w:b/>
          <w:color w:val="000000"/>
          <w:sz w:val="20"/>
          <w:szCs w:val="20"/>
        </w:rPr>
      </w:pPr>
      <w:r>
        <w:rPr>
          <w:b/>
          <w:color w:val="000000"/>
          <w:sz w:val="20"/>
          <w:szCs w:val="20"/>
        </w:rPr>
        <w:t>Приложение 1</w:t>
      </w:r>
    </w:p>
    <w:p w:rsidR="00AC54D0" w:rsidRDefault="00AC54D0" w:rsidP="00AC54D0">
      <w:pPr>
        <w:pStyle w:val="a7"/>
        <w:spacing w:before="0" w:beforeAutospacing="0" w:after="0" w:afterAutospacing="0"/>
        <w:ind w:left="709" w:right="757"/>
        <w:jc w:val="right"/>
        <w:rPr>
          <w:b/>
          <w:color w:val="000000"/>
          <w:sz w:val="20"/>
          <w:szCs w:val="20"/>
        </w:rPr>
      </w:pPr>
    </w:p>
    <w:p w:rsidR="00AC54D0" w:rsidRDefault="00AC54D0" w:rsidP="00AC54D0">
      <w:pPr>
        <w:pStyle w:val="a7"/>
        <w:spacing w:before="0" w:beforeAutospacing="0" w:after="0" w:afterAutospacing="0"/>
        <w:ind w:left="709" w:right="757"/>
        <w:jc w:val="right"/>
        <w:rPr>
          <w:b/>
          <w:color w:val="000000"/>
          <w:sz w:val="20"/>
          <w:szCs w:val="20"/>
        </w:rPr>
      </w:pPr>
    </w:p>
    <w:p w:rsidR="00AC54D0" w:rsidRPr="006E143E" w:rsidRDefault="00AC54D0" w:rsidP="00AC54D0">
      <w:pPr>
        <w:pStyle w:val="a7"/>
        <w:spacing w:before="0" w:beforeAutospacing="0" w:after="0" w:afterAutospacing="0"/>
        <w:ind w:left="709" w:right="757"/>
        <w:jc w:val="center"/>
        <w:rPr>
          <w:b/>
          <w:color w:val="000000"/>
          <w:sz w:val="20"/>
          <w:szCs w:val="20"/>
        </w:rPr>
      </w:pPr>
      <w:r w:rsidRPr="006E143E">
        <w:rPr>
          <w:b/>
          <w:color w:val="000000"/>
          <w:sz w:val="20"/>
          <w:szCs w:val="20"/>
        </w:rPr>
        <w:t>Порядок передачи и внедрения трансфера производства медицинских изделий.</w:t>
      </w:r>
    </w:p>
    <w:p w:rsidR="00AC54D0" w:rsidRPr="006E143E" w:rsidRDefault="00AC54D0" w:rsidP="00AC54D0">
      <w:pPr>
        <w:pStyle w:val="a7"/>
        <w:spacing w:before="0" w:beforeAutospacing="0" w:after="0" w:afterAutospacing="0"/>
        <w:ind w:left="709" w:right="757"/>
        <w:jc w:val="both"/>
        <w:rPr>
          <w:color w:val="000000"/>
          <w:sz w:val="20"/>
          <w:szCs w:val="20"/>
        </w:rPr>
      </w:pP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Трансфер технологий медицинских изделий представляет собой союз знаний и ресурсов в разработке и производстве медицинских изделий, полезных для нужд здравоохранения.</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 xml:space="preserve">«Трансфер производства медицинских изделий» или передача технологий производства (далее – «трансфер») – это </w:t>
      </w:r>
      <w:r>
        <w:rPr>
          <w:color w:val="000000"/>
          <w:sz w:val="20"/>
          <w:szCs w:val="20"/>
        </w:rPr>
        <w:t xml:space="preserve">систематическая </w:t>
      </w:r>
      <w:r w:rsidRPr="006E143E">
        <w:rPr>
          <w:color w:val="000000"/>
          <w:sz w:val="20"/>
          <w:szCs w:val="20"/>
        </w:rPr>
        <w:t>процедура, контролирующая все процессы наряду с документацией и профессиональной экспертизой, чтобы передать документированные знания и опыт, полученные во время разработки и производства. В том числе передача технической информации, навыков эксплуатации, технического материала или оборудования</w:t>
      </w:r>
      <w:r>
        <w:rPr>
          <w:color w:val="000000"/>
          <w:sz w:val="20"/>
          <w:szCs w:val="20"/>
        </w:rPr>
        <w:t>,</w:t>
      </w:r>
      <w:r w:rsidRPr="006E143E">
        <w:rPr>
          <w:color w:val="000000"/>
          <w:sz w:val="20"/>
          <w:szCs w:val="20"/>
        </w:rPr>
        <w:t xml:space="preserve"> совместно или отдельными элементами, при наличии производственной мощности и кадровых ресурсов у получателей.</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Нормативные требования в странах передающей и принимающей стороны должны быть приняты во внимание и последовательно интерпретированы во время любого этапа по программе трансфера.</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Трансфер будет осуществляться поэтапно. Каждый этап является самостоятельной частью трансфера и, в случае если отсутствует необходимость соблюдения хронологического порядка выполнения этапов, этапы могут осуществляться параллельно и/или в любой последовательности. По итогам исполнения каждого отдельного этапа стороны подписывают согласованный Протокол, который является документированным подтверждением выполнения этапа обеими сторонами. По усмотрению сторон возможно подписание промежуточных Протоколов по мере исполнения части этапа.</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Протокол должен в себя включать: наименование этапа трансфера, описание выполненных действий, информацию о выявленных критических контрольных точках, при передаче документации по технологическим и другим процессам, также может включать в себя другую информацию по усмотрению сторон. Протокол должен быть подписан ответственными уполномоченными лицами каждой из сторон. Передача всех этапов производственного цикла с документально подтвержденными данными, свидетельствующими, что каждый определенный этап завершен удовлетворительно до начала следующего.</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Основные этапы трансфера:</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 xml:space="preserve">1. </w:t>
      </w:r>
      <w:r>
        <w:rPr>
          <w:color w:val="000000"/>
          <w:sz w:val="20"/>
          <w:szCs w:val="20"/>
        </w:rPr>
        <w:t>Организация, управление и планирование трансфера. Составление и о</w:t>
      </w:r>
      <w:r w:rsidRPr="006E143E">
        <w:rPr>
          <w:color w:val="000000"/>
          <w:sz w:val="20"/>
          <w:szCs w:val="20"/>
        </w:rPr>
        <w:t>знакомление с протоколом и этапами трансфера (должны подписать, что ознакомление прошло успешно);</w:t>
      </w:r>
    </w:p>
    <w:p w:rsidR="00AC54D0" w:rsidRPr="006E143E"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2. Проектирование производственных помещений в соответствии с проектно-сметной документац</w:t>
      </w:r>
      <w:r>
        <w:rPr>
          <w:color w:val="000000"/>
          <w:sz w:val="20"/>
          <w:szCs w:val="20"/>
        </w:rPr>
        <w:t xml:space="preserve">ией; </w:t>
      </w:r>
      <w:r w:rsidRPr="006E143E">
        <w:rPr>
          <w:color w:val="000000"/>
          <w:sz w:val="20"/>
          <w:szCs w:val="20"/>
        </w:rPr>
        <w:t xml:space="preserve">Оценка инженерно-технических коммуникаций и </w:t>
      </w:r>
      <w:r>
        <w:rPr>
          <w:color w:val="000000"/>
          <w:sz w:val="20"/>
          <w:szCs w:val="20"/>
        </w:rPr>
        <w:t>приведение в соответствие с ПСД;</w:t>
      </w:r>
    </w:p>
    <w:p w:rsidR="00AC54D0"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3. Перечень необходимого производственного и лабораторного оборудования с указанием марки, модели и других идентифицирующих признаков для всех этапов</w:t>
      </w:r>
      <w:r>
        <w:rPr>
          <w:color w:val="000000"/>
          <w:sz w:val="20"/>
          <w:szCs w:val="20"/>
        </w:rPr>
        <w:t xml:space="preserve"> </w:t>
      </w:r>
      <w:r w:rsidRPr="006E143E">
        <w:rPr>
          <w:color w:val="000000"/>
          <w:sz w:val="20"/>
          <w:szCs w:val="20"/>
        </w:rPr>
        <w:t>производства, включая фасовку, упаковку,</w:t>
      </w:r>
      <w:r>
        <w:rPr>
          <w:color w:val="000000"/>
          <w:sz w:val="20"/>
          <w:szCs w:val="20"/>
        </w:rPr>
        <w:t xml:space="preserve"> маркировку и </w:t>
      </w:r>
      <w:r w:rsidRPr="006E143E">
        <w:rPr>
          <w:color w:val="000000"/>
          <w:sz w:val="20"/>
          <w:szCs w:val="20"/>
        </w:rPr>
        <w:t>контроля качества продукта. К каждой единице оборудования должны быть приложены:</w:t>
      </w:r>
    </w:p>
    <w:p w:rsidR="00AC54D0" w:rsidRDefault="00AC54D0" w:rsidP="00AC54D0">
      <w:pPr>
        <w:pStyle w:val="a7"/>
        <w:spacing w:before="0" w:beforeAutospacing="0" w:after="0" w:afterAutospacing="0"/>
        <w:ind w:left="709" w:right="757" w:firstLine="709"/>
        <w:jc w:val="both"/>
        <w:rPr>
          <w:color w:val="000000"/>
          <w:sz w:val="20"/>
          <w:szCs w:val="20"/>
        </w:rPr>
      </w:pPr>
      <w:r w:rsidRPr="00E6632E">
        <w:rPr>
          <w:color w:val="000000"/>
          <w:sz w:val="20"/>
          <w:szCs w:val="20"/>
        </w:rPr>
        <w:t>3.1. Инструкция</w:t>
      </w:r>
      <w:r>
        <w:rPr>
          <w:color w:val="000000"/>
          <w:sz w:val="20"/>
          <w:szCs w:val="20"/>
        </w:rPr>
        <w:t xml:space="preserve"> по применению </w:t>
      </w:r>
      <w:r w:rsidRPr="008704A9">
        <w:rPr>
          <w:color w:val="000000"/>
          <w:sz w:val="20"/>
          <w:szCs w:val="20"/>
        </w:rPr>
        <w:t>/</w:t>
      </w:r>
      <w:r>
        <w:rPr>
          <w:color w:val="000000"/>
          <w:sz w:val="20"/>
          <w:szCs w:val="20"/>
        </w:rPr>
        <w:t xml:space="preserve"> Руководство по эксплуатации</w:t>
      </w:r>
      <w:r w:rsidRPr="00E6632E">
        <w:rPr>
          <w:color w:val="000000"/>
          <w:sz w:val="20"/>
          <w:szCs w:val="20"/>
        </w:rPr>
        <w:t>.</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3.2. Договор по сервисному обслуживанию (при необходимости).</w:t>
      </w:r>
    </w:p>
    <w:p w:rsidR="00AC54D0" w:rsidRPr="00E307F9"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3.3. Установка оборудования, инсталляция, пуско-наладочные работы представителями передающей стороны на площадке принимающей стороны, тестирование.</w:t>
      </w:r>
    </w:p>
    <w:p w:rsidR="00AC54D0"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4. Получение д</w:t>
      </w:r>
      <w:r>
        <w:rPr>
          <w:color w:val="000000"/>
          <w:sz w:val="20"/>
          <w:szCs w:val="20"/>
        </w:rPr>
        <w:t xml:space="preserve">окументированных процедур, </w:t>
      </w:r>
      <w:r w:rsidRPr="006E143E">
        <w:rPr>
          <w:color w:val="000000"/>
          <w:sz w:val="20"/>
          <w:szCs w:val="20"/>
        </w:rPr>
        <w:t>необходим</w:t>
      </w:r>
      <w:r>
        <w:rPr>
          <w:color w:val="000000"/>
          <w:sz w:val="20"/>
          <w:szCs w:val="20"/>
        </w:rPr>
        <w:t>ых</w:t>
      </w:r>
      <w:r w:rsidRPr="006E143E">
        <w:rPr>
          <w:color w:val="000000"/>
          <w:sz w:val="20"/>
          <w:szCs w:val="20"/>
        </w:rPr>
        <w:t xml:space="preserve"> для полноценного осуществления трансфера: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 Руководство по качеству. </w:t>
      </w:r>
      <w:r w:rsidRPr="006E143E">
        <w:rPr>
          <w:color w:val="000000"/>
          <w:sz w:val="20"/>
          <w:szCs w:val="20"/>
        </w:rPr>
        <w:t>Сведения о соответствии медицинского изделия общим требованиям безопасности и эффективности медицинских изделий, требованиям к их маркировке и экспл</w:t>
      </w:r>
      <w:r>
        <w:rPr>
          <w:color w:val="000000"/>
          <w:sz w:val="20"/>
          <w:szCs w:val="20"/>
        </w:rPr>
        <w:t>уатационной документации на них;</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4.2. Технический файл медицинского изделия (общее описание медицинского изделия, его назначение/применение, маркировка, включая любые инструкции, спецификацию продукции, процедуры производства, упаковки, хранения, обращения с изделием, процедуры измерения и мониторинга);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4.3. Стандартные операционные процедуры по технологии производства, согласно требованиям ИСО 13485:</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требования к производственной среде, необходимой для достижения соответствия требованиям к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требования для мониторинга и управления производственной средой;</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меры для контроля потенциально загрязненной продукции с целью предотвращения загрязнения производственной среды, персонала,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требования к управлению рисками на всех этапах жизненного цикла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требования к входному контролю;</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процедуры, описывающие всю последовательность производства;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процедуры по маркировке и упаковке готовой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lastRenderedPageBreak/>
        <w:t>- процедуры по обеспечению сохранности продукции при поставке (идентификация, погрузка-разгрузка, упаковка, защита и хранение);</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требования к поверке оборудования/СИ для мониторинга и измерений;</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процедуры по процессам управления продукцией, несоответствующей требованиям (исправление, пересортировка, разрешение на отклонение, уничтожение, предотвращение использования);</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процедуры по контролю качества входного сырья, промежуточного продукта и готовой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документированные требования к сырью и материалам, к готовой продукции;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4.4. Информация </w:t>
      </w:r>
      <w:r w:rsidRPr="006E143E">
        <w:rPr>
          <w:color w:val="000000"/>
          <w:sz w:val="20"/>
          <w:szCs w:val="20"/>
        </w:rPr>
        <w:t>о разработке и производстве: схемы процессов производства, основные стадии производства, упаковка, испытания и проце</w:t>
      </w:r>
      <w:r>
        <w:rPr>
          <w:color w:val="000000"/>
          <w:sz w:val="20"/>
          <w:szCs w:val="20"/>
        </w:rPr>
        <w:t>дура выпуска конечного продукта;</w:t>
      </w:r>
    </w:p>
    <w:p w:rsidR="00AC54D0" w:rsidRDefault="00AC54D0" w:rsidP="00AC54D0">
      <w:pPr>
        <w:pStyle w:val="a7"/>
        <w:spacing w:before="0" w:beforeAutospacing="0" w:after="0" w:afterAutospacing="0"/>
        <w:ind w:left="709" w:right="757" w:firstLine="709"/>
        <w:jc w:val="both"/>
        <w:rPr>
          <w:color w:val="000000"/>
          <w:sz w:val="20"/>
          <w:szCs w:val="20"/>
        </w:rPr>
      </w:pPr>
      <w:r w:rsidRPr="00F41037">
        <w:rPr>
          <w:color w:val="000000"/>
          <w:sz w:val="20"/>
          <w:szCs w:val="20"/>
        </w:rPr>
        <w:t>4.5. Копии сертификатов на систему менеджмента качества Исполнителя тра</w:t>
      </w:r>
      <w:r>
        <w:rPr>
          <w:color w:val="000000"/>
          <w:sz w:val="20"/>
          <w:szCs w:val="20"/>
        </w:rPr>
        <w:t xml:space="preserve">нсфера (ИСО 13485 или </w:t>
      </w:r>
      <w:r w:rsidRPr="00F41037">
        <w:rPr>
          <w:color w:val="000000"/>
          <w:sz w:val="20"/>
          <w:szCs w:val="20"/>
        </w:rPr>
        <w:t>FDA</w:t>
      </w:r>
      <w:r>
        <w:rPr>
          <w:color w:val="000000"/>
          <w:sz w:val="20"/>
          <w:szCs w:val="20"/>
        </w:rPr>
        <w:t xml:space="preserve"> или </w:t>
      </w:r>
      <w:proofErr w:type="gramStart"/>
      <w:r>
        <w:rPr>
          <w:color w:val="000000"/>
          <w:sz w:val="20"/>
          <w:szCs w:val="20"/>
          <w:lang w:val="en-US"/>
        </w:rPr>
        <w:t>CE</w:t>
      </w:r>
      <w:proofErr w:type="gramEnd"/>
      <w:r w:rsidRPr="008704A9">
        <w:rPr>
          <w:color w:val="000000"/>
          <w:sz w:val="20"/>
          <w:szCs w:val="20"/>
        </w:rPr>
        <w:t xml:space="preserve"> </w:t>
      </w:r>
      <w:r>
        <w:rPr>
          <w:color w:val="000000"/>
          <w:sz w:val="20"/>
          <w:szCs w:val="20"/>
        </w:rPr>
        <w:t xml:space="preserve">или </w:t>
      </w:r>
      <w:r w:rsidRPr="00F41037">
        <w:rPr>
          <w:color w:val="000000"/>
          <w:sz w:val="20"/>
          <w:szCs w:val="20"/>
        </w:rPr>
        <w:t>РУ в других странах);</w:t>
      </w:r>
    </w:p>
    <w:p w:rsidR="00AC54D0" w:rsidRDefault="00AC54D0" w:rsidP="00AC54D0">
      <w:pPr>
        <w:pStyle w:val="a7"/>
        <w:spacing w:before="0" w:beforeAutospacing="0" w:after="0" w:afterAutospacing="0"/>
        <w:ind w:left="709" w:right="757" w:firstLine="709"/>
        <w:jc w:val="both"/>
        <w:rPr>
          <w:color w:val="000000"/>
          <w:sz w:val="20"/>
          <w:szCs w:val="20"/>
        </w:rPr>
      </w:pPr>
      <w:r w:rsidRPr="0078274D">
        <w:rPr>
          <w:color w:val="000000"/>
          <w:sz w:val="20"/>
          <w:szCs w:val="20"/>
        </w:rPr>
        <w:t>4.6. Декларация о соответствии требованиям безопасности и эффективности медицинских изделий или эквивалентный документ (EC DECLARATION OF CONFORMITY);</w:t>
      </w:r>
    </w:p>
    <w:p w:rsidR="00AC54D0" w:rsidRDefault="00AC54D0" w:rsidP="00AC54D0">
      <w:pPr>
        <w:pStyle w:val="a7"/>
        <w:spacing w:before="0" w:beforeAutospacing="0" w:after="0" w:afterAutospacing="0"/>
        <w:ind w:left="709" w:right="757" w:firstLine="709"/>
        <w:jc w:val="both"/>
        <w:rPr>
          <w:color w:val="000000"/>
          <w:sz w:val="20"/>
          <w:szCs w:val="20"/>
        </w:rPr>
      </w:pPr>
      <w:r w:rsidRPr="0078274D">
        <w:rPr>
          <w:color w:val="000000"/>
          <w:sz w:val="20"/>
          <w:szCs w:val="20"/>
        </w:rPr>
        <w:t>4.7. Информация о маркетинге (история при условии обращения изделия на рынке более 2 лет);</w:t>
      </w:r>
    </w:p>
    <w:p w:rsidR="00AC54D0" w:rsidRPr="00571394" w:rsidRDefault="00AC54D0" w:rsidP="00AC54D0">
      <w:pPr>
        <w:pStyle w:val="a7"/>
        <w:spacing w:before="0" w:beforeAutospacing="0" w:after="0" w:afterAutospacing="0"/>
        <w:ind w:left="709" w:right="757" w:firstLine="709"/>
        <w:jc w:val="both"/>
        <w:rPr>
          <w:color w:val="000000"/>
          <w:sz w:val="20"/>
          <w:szCs w:val="20"/>
        </w:rPr>
      </w:pPr>
      <w:r w:rsidRPr="0078274D">
        <w:rPr>
          <w:color w:val="000000"/>
          <w:sz w:val="20"/>
          <w:szCs w:val="20"/>
        </w:rPr>
        <w:t>4.8. Сведения о мониторинге безопасности (GOOD VIGILANCE PRACTICE). Рекламация. Сведения о неблагоприятных событиях. Краткие обзоры с описанием анализа или корректирующих действий;</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4.9. </w:t>
      </w:r>
      <w:r w:rsidRPr="006E143E">
        <w:rPr>
          <w:color w:val="000000"/>
          <w:sz w:val="20"/>
          <w:szCs w:val="20"/>
        </w:rPr>
        <w:t>Перечень международных стандартов, которым соответствует медицинское издел</w:t>
      </w:r>
      <w:r>
        <w:rPr>
          <w:color w:val="000000"/>
          <w:sz w:val="20"/>
          <w:szCs w:val="20"/>
        </w:rPr>
        <w:t>ие (с указанием сведений о них);</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4.10. </w:t>
      </w:r>
      <w:r w:rsidRPr="006E143E">
        <w:rPr>
          <w:color w:val="000000"/>
          <w:sz w:val="20"/>
          <w:szCs w:val="20"/>
        </w:rPr>
        <w:t>Документ, устанавливающий требования к техническим харак</w:t>
      </w:r>
      <w:r>
        <w:rPr>
          <w:color w:val="000000"/>
          <w:sz w:val="20"/>
          <w:szCs w:val="20"/>
        </w:rPr>
        <w:t>теристикам медицинского изделия;</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4.11. </w:t>
      </w:r>
      <w:r w:rsidRPr="006E143E">
        <w:rPr>
          <w:color w:val="000000"/>
          <w:sz w:val="20"/>
          <w:szCs w:val="20"/>
        </w:rPr>
        <w:t>Данн</w:t>
      </w:r>
      <w:r>
        <w:rPr>
          <w:color w:val="000000"/>
          <w:sz w:val="20"/>
          <w:szCs w:val="20"/>
        </w:rPr>
        <w:t>ые о биологической безопасности;</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4.12. </w:t>
      </w:r>
      <w:r w:rsidRPr="006E143E">
        <w:rPr>
          <w:color w:val="000000"/>
          <w:sz w:val="20"/>
          <w:szCs w:val="20"/>
        </w:rPr>
        <w:t>Отчет об исследованиях стабильности – с аутентичным переводом на русский язык результатов и выводов испытаний для</w:t>
      </w:r>
      <w:r>
        <w:rPr>
          <w:color w:val="000000"/>
          <w:sz w:val="20"/>
          <w:szCs w:val="20"/>
        </w:rPr>
        <w:t xml:space="preserve"> изделий, имеющих срок хранения;</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4.13. Отчет об инспекции производства;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4.14. </w:t>
      </w:r>
      <w:r w:rsidRPr="006E143E">
        <w:rPr>
          <w:color w:val="000000"/>
          <w:sz w:val="20"/>
          <w:szCs w:val="20"/>
        </w:rPr>
        <w:t xml:space="preserve">План сбора и анализа данных по безопасности и эффективности медицинских изделий на </w:t>
      </w:r>
      <w:proofErr w:type="spellStart"/>
      <w:r w:rsidRPr="006E143E">
        <w:rPr>
          <w:color w:val="000000"/>
          <w:sz w:val="20"/>
          <w:szCs w:val="20"/>
        </w:rPr>
        <w:t>постпродажном</w:t>
      </w:r>
      <w:proofErr w:type="spellEnd"/>
      <w:r w:rsidRPr="006E143E">
        <w:rPr>
          <w:color w:val="000000"/>
          <w:sz w:val="20"/>
          <w:szCs w:val="20"/>
        </w:rPr>
        <w:t xml:space="preserve"> этапе.</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4.15. </w:t>
      </w:r>
      <w:r w:rsidRPr="006E143E">
        <w:rPr>
          <w:color w:val="000000"/>
          <w:sz w:val="20"/>
          <w:szCs w:val="20"/>
        </w:rPr>
        <w:t>Документы, подтверждающие результаты испытаний медицинских изделий в целях утверждения типа средств измерений.</w:t>
      </w:r>
    </w:p>
    <w:p w:rsidR="00AC54D0"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 xml:space="preserve">5. </w:t>
      </w:r>
      <w:r>
        <w:rPr>
          <w:color w:val="000000"/>
          <w:sz w:val="20"/>
          <w:szCs w:val="20"/>
        </w:rPr>
        <w:t xml:space="preserve">Передающая и принимающая стороны должны совместно реализовать программу обучения сотрудников </w:t>
      </w:r>
      <w:r w:rsidRPr="006E143E">
        <w:rPr>
          <w:color w:val="000000"/>
          <w:sz w:val="20"/>
          <w:szCs w:val="20"/>
        </w:rPr>
        <w:t>на площадке передающей стороны</w:t>
      </w:r>
      <w:r>
        <w:rPr>
          <w:color w:val="000000"/>
          <w:sz w:val="20"/>
          <w:szCs w:val="20"/>
        </w:rPr>
        <w:t xml:space="preserve"> (</w:t>
      </w:r>
      <w:r w:rsidRPr="006E143E">
        <w:rPr>
          <w:color w:val="000000"/>
          <w:sz w:val="20"/>
          <w:szCs w:val="20"/>
        </w:rPr>
        <w:t>технологов, менеджеров системы менеджмента качества, лаборантов, инженеров</w:t>
      </w:r>
      <w:r>
        <w:rPr>
          <w:color w:val="000000"/>
          <w:sz w:val="20"/>
          <w:szCs w:val="20"/>
        </w:rPr>
        <w:t>). Тип и объем обучения определяется руководителями принимающей и передающей сторон. Все действия по обучению и его результаты должны оформляться документально. Документ (сертификат) об обучении сотрудника, проходившего обучение, должен подписываться руководителями передающей и принимающей сторон и сотрудником принимающей стороны.</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5.1. Документ об обучении сотрудника, прошедшего обучение, должен содержать следующую информацию: </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имя работника, должность, подразделение;</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наименование готового продукта;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информацию о лице, проводившем обучение;</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заключение о результате обучения и возможности самостоятельно осуществлять производство, контроль качества, анализ, обслуживание (при необходимости), ремонт (при необходимости) (утверждается руководителем передающей стороны).</w:t>
      </w:r>
    </w:p>
    <w:p w:rsidR="00AC54D0" w:rsidRDefault="00AC54D0" w:rsidP="00AC54D0">
      <w:pPr>
        <w:pStyle w:val="a7"/>
        <w:spacing w:before="0" w:beforeAutospacing="0" w:after="0" w:afterAutospacing="0"/>
        <w:ind w:left="709" w:right="757" w:firstLine="709"/>
        <w:jc w:val="both"/>
        <w:rPr>
          <w:color w:val="000000"/>
          <w:sz w:val="20"/>
          <w:szCs w:val="20"/>
        </w:rPr>
      </w:pPr>
      <w:r w:rsidRPr="006E143E">
        <w:rPr>
          <w:color w:val="000000"/>
          <w:sz w:val="20"/>
          <w:szCs w:val="20"/>
        </w:rPr>
        <w:t>6. Информация об исходных материалах, пр</w:t>
      </w:r>
      <w:r>
        <w:rPr>
          <w:color w:val="000000"/>
          <w:sz w:val="20"/>
          <w:szCs w:val="20"/>
        </w:rPr>
        <w:t>именяемая</w:t>
      </w:r>
      <w:r w:rsidRPr="006E143E">
        <w:rPr>
          <w:color w:val="000000"/>
          <w:sz w:val="20"/>
          <w:szCs w:val="20"/>
        </w:rPr>
        <w:t xml:space="preserve"> для производства, включающая</w:t>
      </w:r>
      <w:r>
        <w:rPr>
          <w:color w:val="000000"/>
          <w:sz w:val="20"/>
          <w:szCs w:val="20"/>
        </w:rPr>
        <w:t>:</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6.1.</w:t>
      </w:r>
      <w:r w:rsidRPr="006E143E">
        <w:rPr>
          <w:color w:val="000000"/>
          <w:sz w:val="20"/>
          <w:szCs w:val="20"/>
        </w:rPr>
        <w:t xml:space="preserve"> </w:t>
      </w:r>
      <w:r>
        <w:rPr>
          <w:color w:val="000000"/>
          <w:sz w:val="20"/>
          <w:szCs w:val="20"/>
        </w:rPr>
        <w:t>Т</w:t>
      </w:r>
      <w:r w:rsidRPr="006E143E">
        <w:rPr>
          <w:color w:val="000000"/>
          <w:sz w:val="20"/>
          <w:szCs w:val="20"/>
        </w:rPr>
        <w:t>ребования к безопасности материала</w:t>
      </w:r>
      <w:r>
        <w:rPr>
          <w:color w:val="000000"/>
          <w:sz w:val="20"/>
          <w:szCs w:val="20"/>
        </w:rPr>
        <w:t>;</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6.2. Т</w:t>
      </w:r>
      <w:r w:rsidRPr="006E143E">
        <w:rPr>
          <w:color w:val="000000"/>
          <w:sz w:val="20"/>
          <w:szCs w:val="20"/>
        </w:rPr>
        <w:t>ребования для хранения сырья и готовой продукции (сертификаты, подтверждающие качество и безопасность сырья и</w:t>
      </w:r>
      <w:r>
        <w:rPr>
          <w:color w:val="000000"/>
          <w:sz w:val="20"/>
          <w:szCs w:val="20"/>
        </w:rPr>
        <w:t>ли</w:t>
      </w:r>
      <w:r w:rsidRPr="006E143E">
        <w:rPr>
          <w:color w:val="000000"/>
          <w:sz w:val="20"/>
          <w:szCs w:val="20"/>
        </w:rPr>
        <w:t xml:space="preserve"> С</w:t>
      </w:r>
      <w:r>
        <w:rPr>
          <w:color w:val="000000"/>
          <w:sz w:val="20"/>
          <w:szCs w:val="20"/>
        </w:rPr>
        <w:t>тандартные Операционные Процедуры для хранения и использования);</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6.3. </w:t>
      </w:r>
      <w:r w:rsidRPr="006E143E">
        <w:rPr>
          <w:color w:val="000000"/>
          <w:sz w:val="20"/>
          <w:szCs w:val="20"/>
        </w:rPr>
        <w:t>Безопасность изделия в отношении биологических факторов должна быть обеспечена, следующими мерами:</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Сырье и технологический процесс должны быть разработаны и переданы таким образом, чтобы устранить или максимально уменьшить риск инфицирования персонала или других лиц.</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 xml:space="preserve">-  </w:t>
      </w:r>
      <w:r w:rsidRPr="006E143E">
        <w:rPr>
          <w:color w:val="000000"/>
          <w:sz w:val="20"/>
          <w:szCs w:val="20"/>
        </w:rPr>
        <w:t>При разработке и трансфере изделия должны быть созданы условия</w:t>
      </w:r>
      <w:r>
        <w:rPr>
          <w:color w:val="000000"/>
          <w:sz w:val="20"/>
          <w:szCs w:val="20"/>
        </w:rPr>
        <w:t>,</w:t>
      </w:r>
      <w:r w:rsidRPr="006E143E">
        <w:rPr>
          <w:color w:val="000000"/>
          <w:sz w:val="20"/>
          <w:szCs w:val="20"/>
        </w:rPr>
        <w:t xml:space="preserve"> предотвращающие влияние факторов риска связанных с использованием исходного сырья биологических агентов, штаммов, вредных для здоровья и окружающей среды.</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 Заключение на предмет их безопасности, эффективности и качества: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7.1. Оценку безопасности, эффективности и качества;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7.2. Анализ данных о разработке и производства (испытания и процедуры выпуска конечного продукта);</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lastRenderedPageBreak/>
        <w:t>7.3. Анализ биологической безопасности медицинского изделия, на основе всех материалов, входящих в состав медицинского изделия;</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7.4. Анализ отчета клинических испытаний, опыта применения в клинической практике;</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7.5. Анализ стабильности реагентов, входящих в состав продукции, и расходных материалов, входящих в комплектацию;</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7.6. Заключение экспертизы соответствия показателей безопасности и качества, указанных в нормативных документах передающей стороны, стандартам (международным);</w:t>
      </w:r>
    </w:p>
    <w:p w:rsidR="00AC54D0"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8. Отчет об анализе рисков.</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9</w:t>
      </w:r>
      <w:r w:rsidRPr="006E143E">
        <w:rPr>
          <w:color w:val="000000"/>
          <w:sz w:val="20"/>
          <w:szCs w:val="20"/>
        </w:rPr>
        <w:t>. Утверждение перечня сырья для производства всех видов продукции. Согласование условий поставки: сроки поставки, гарантии, передаваемая документация и др.</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10</w:t>
      </w:r>
      <w:r w:rsidRPr="006E143E">
        <w:rPr>
          <w:color w:val="000000"/>
          <w:sz w:val="20"/>
          <w:szCs w:val="20"/>
        </w:rPr>
        <w:t>. Выпуск пробной партии продукции в соответствии с заявленным технологическим процессом, стандартными операцион</w:t>
      </w:r>
      <w:bookmarkStart w:id="0" w:name="_GoBack"/>
      <w:bookmarkEnd w:id="0"/>
      <w:r w:rsidRPr="006E143E">
        <w:rPr>
          <w:color w:val="000000"/>
          <w:sz w:val="20"/>
          <w:szCs w:val="20"/>
        </w:rPr>
        <w:t>ными процедурами и другой технической документацией;</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11</w:t>
      </w:r>
      <w:r w:rsidRPr="006E143E">
        <w:rPr>
          <w:color w:val="000000"/>
          <w:sz w:val="20"/>
          <w:szCs w:val="20"/>
        </w:rPr>
        <w:t>. Принимающая сторона должна быть оценена Исполнителем (поставляющей стороной) по степени готовности перед процессом трансфера по отношению к помещениям, оборудованию и услугам поддержки (закуп и механизм управления запасами, кадровый потенциал, контроль качества процедур, проверка места, квалификация оборудования, воды, и обращения с отходами).</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12</w:t>
      </w:r>
      <w:r w:rsidRPr="006E143E">
        <w:rPr>
          <w:color w:val="000000"/>
          <w:sz w:val="20"/>
          <w:szCs w:val="20"/>
        </w:rPr>
        <w:t>. Исполнитель должен предоставить данные по экологической безопасности (вопросы здоровья и безопасности окружающей среды)</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риски производственных процессов;</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реактивные химические опасности;</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предельно допустимые концентрации;</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пожары и риски взрыва;</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санитарно-гигиенические требования к безопасности, с целью минимизации воздействия на оператора (атмосферное содержание фармацевтической пыли, штаммов и т.д.);</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аварийные риски (утечка газа или пыли, воды и т.д.);</w:t>
      </w:r>
    </w:p>
    <w:p w:rsidR="00AC54D0" w:rsidRPr="006E143E"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утилизация отходов или захоронения;</w:t>
      </w:r>
    </w:p>
    <w:p w:rsidR="00AC54D0" w:rsidRPr="00097D57" w:rsidRDefault="00AC54D0" w:rsidP="00AC54D0">
      <w:pPr>
        <w:pStyle w:val="a7"/>
        <w:spacing w:before="0" w:beforeAutospacing="0" w:after="0" w:afterAutospacing="0"/>
        <w:ind w:left="709" w:right="757" w:firstLine="709"/>
        <w:jc w:val="both"/>
        <w:rPr>
          <w:color w:val="000000"/>
          <w:sz w:val="20"/>
          <w:szCs w:val="20"/>
        </w:rPr>
      </w:pPr>
      <w:r>
        <w:rPr>
          <w:color w:val="000000"/>
          <w:sz w:val="20"/>
          <w:szCs w:val="20"/>
        </w:rPr>
        <w:t>-</w:t>
      </w:r>
      <w:r w:rsidRPr="006E143E">
        <w:rPr>
          <w:color w:val="000000"/>
          <w:sz w:val="20"/>
          <w:szCs w:val="20"/>
        </w:rPr>
        <w:t xml:space="preserve"> план управления отходами.</w:t>
      </w:r>
    </w:p>
    <w:p w:rsidR="00AC54D0" w:rsidRPr="000F0FC0" w:rsidRDefault="00AC54D0" w:rsidP="00AC54D0">
      <w:pPr>
        <w:widowControl w:val="0"/>
        <w:tabs>
          <w:tab w:val="left" w:pos="851"/>
        </w:tabs>
        <w:autoSpaceDE w:val="0"/>
        <w:autoSpaceDN w:val="0"/>
        <w:spacing w:before="1" w:after="0" w:line="240" w:lineRule="auto"/>
        <w:ind w:left="709" w:right="757"/>
        <w:jc w:val="both"/>
        <w:rPr>
          <w:rFonts w:ascii="Times New Roman" w:hAnsi="Times New Roman" w:cs="Times New Roman"/>
          <w:b/>
          <w:sz w:val="24"/>
          <w:lang w:val="ru-RU"/>
        </w:rPr>
      </w:pPr>
    </w:p>
    <w:p w:rsidR="00CF091D" w:rsidRPr="00AC54D0" w:rsidRDefault="003C1813">
      <w:pPr>
        <w:rPr>
          <w:lang w:val="ru-RU"/>
        </w:rPr>
      </w:pPr>
    </w:p>
    <w:sectPr w:rsidR="00CF091D" w:rsidRPr="00AC54D0" w:rsidSect="00447094">
      <w:footerReference w:type="default" r:id="rId6"/>
      <w:pgSz w:w="12240" w:h="15840"/>
      <w:pgMar w:top="2268" w:right="284" w:bottom="284" w:left="284" w:header="709"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13" w:rsidRDefault="003C1813" w:rsidP="00AC54D0">
      <w:pPr>
        <w:spacing w:after="0" w:line="240" w:lineRule="auto"/>
      </w:pPr>
      <w:r>
        <w:separator/>
      </w:r>
    </w:p>
  </w:endnote>
  <w:endnote w:type="continuationSeparator" w:id="0">
    <w:p w:rsidR="003C1813" w:rsidRDefault="003C1813" w:rsidP="00AC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94" w:rsidRDefault="003C1813" w:rsidP="0044709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13" w:rsidRDefault="003C1813" w:rsidP="00AC54D0">
      <w:pPr>
        <w:spacing w:after="0" w:line="240" w:lineRule="auto"/>
      </w:pPr>
      <w:r>
        <w:separator/>
      </w:r>
    </w:p>
  </w:footnote>
  <w:footnote w:type="continuationSeparator" w:id="0">
    <w:p w:rsidR="003C1813" w:rsidRDefault="003C1813" w:rsidP="00AC5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C0"/>
    <w:rsid w:val="001501C0"/>
    <w:rsid w:val="00223382"/>
    <w:rsid w:val="003C1813"/>
    <w:rsid w:val="009B293B"/>
    <w:rsid w:val="00AC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EDD8C"/>
  <w15:chartTrackingRefBased/>
  <w15:docId w15:val="{8AD1E0E2-904D-4257-AEE2-3B18576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4D0"/>
    <w:rPr>
      <w:rFonts w:ascii="Calibri" w:eastAsia="Calibri" w:hAnsi="Calibri" w:cs="Calibri"/>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4D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C54D0"/>
    <w:rPr>
      <w:rFonts w:ascii="Calibri" w:eastAsia="Calibri" w:hAnsi="Calibri" w:cs="Calibri"/>
      <w:color w:val="000000"/>
      <w:lang w:val="en-US"/>
    </w:rPr>
  </w:style>
  <w:style w:type="paragraph" w:styleId="a5">
    <w:name w:val="footer"/>
    <w:basedOn w:val="a"/>
    <w:link w:val="a6"/>
    <w:uiPriority w:val="99"/>
    <w:unhideWhenUsed/>
    <w:rsid w:val="00AC54D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AC54D0"/>
    <w:rPr>
      <w:rFonts w:ascii="Calibri" w:eastAsia="Calibri" w:hAnsi="Calibri" w:cs="Calibri"/>
      <w:color w:val="000000"/>
      <w:lang w:val="en-US"/>
    </w:rPr>
  </w:style>
  <w:style w:type="paragraph" w:styleId="a7">
    <w:name w:val="Normal (Web)"/>
    <w:basedOn w:val="a"/>
    <w:uiPriority w:val="99"/>
    <w:unhideWhenUsed/>
    <w:rsid w:val="00AC54D0"/>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2023-02-08T12:57:00Z</dcterms:created>
  <dcterms:modified xsi:type="dcterms:W3CDTF">2023-02-08T12:59:00Z</dcterms:modified>
</cp:coreProperties>
</file>